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21F" w:rsidRDefault="000308AE" w:rsidP="0099421F">
      <w:pPr>
        <w:shd w:val="clear" w:color="auto" w:fill="FFFFFF"/>
        <w:spacing w:before="180" w:after="180" w:line="360" w:lineRule="atLeast"/>
        <w:ind w:firstLine="708"/>
        <w:jc w:val="center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t xml:space="preserve">UNIVERSIDAD PEDAGÓGICA EXPERIMENTAL LIBERTADOR </w:t>
      </w:r>
      <w:r>
        <w:rPr>
          <w:rFonts w:ascii="Arial" w:hAnsi="Arial" w:cs="Arial"/>
          <w:color w:val="404040"/>
          <w:sz w:val="26"/>
          <w:szCs w:val="26"/>
        </w:rPr>
        <w:br/>
        <w:t>INSTITUTO DE MEJORAMIENTO PROFESIONAL DEL MAGISTERIO</w:t>
      </w:r>
      <w:r>
        <w:rPr>
          <w:rFonts w:ascii="Arial" w:hAnsi="Arial" w:cs="Arial"/>
          <w:color w:val="404040"/>
          <w:sz w:val="26"/>
          <w:szCs w:val="26"/>
        </w:rPr>
        <w:br/>
        <w:t>NÚCLEO ACADÉMICO TÁCHIRA</w:t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  <w:t>EL TALENTO SUPE</w:t>
      </w:r>
      <w:r w:rsidR="0099421F">
        <w:rPr>
          <w:rFonts w:ascii="Arial" w:hAnsi="Arial" w:cs="Arial"/>
          <w:color w:val="404040"/>
          <w:sz w:val="26"/>
          <w:szCs w:val="26"/>
        </w:rPr>
        <w:t xml:space="preserve">RIOR EN VENEZUELA </w:t>
      </w:r>
      <w:r w:rsidR="0099421F">
        <w:rPr>
          <w:rFonts w:ascii="Arial" w:hAnsi="Arial" w:cs="Arial"/>
          <w:color w:val="404040"/>
          <w:sz w:val="26"/>
          <w:szCs w:val="26"/>
        </w:rPr>
        <w:br/>
        <w:t>(Foro)</w:t>
      </w:r>
      <w:r w:rsidR="0099421F">
        <w:rPr>
          <w:rFonts w:ascii="Arial" w:hAnsi="Arial" w:cs="Arial"/>
          <w:color w:val="404040"/>
          <w:sz w:val="26"/>
          <w:szCs w:val="26"/>
        </w:rPr>
        <w:br/>
      </w:r>
      <w:r w:rsidR="0099421F">
        <w:rPr>
          <w:rFonts w:ascii="Arial" w:hAnsi="Arial" w:cs="Arial"/>
          <w:color w:val="404040"/>
          <w:sz w:val="26"/>
          <w:szCs w:val="26"/>
        </w:rPr>
        <w:br/>
      </w:r>
      <w:r w:rsidR="0099421F">
        <w:rPr>
          <w:rFonts w:ascii="Arial" w:hAnsi="Arial" w:cs="Arial"/>
          <w:color w:val="404040"/>
          <w:sz w:val="26"/>
          <w:szCs w:val="26"/>
        </w:rPr>
        <w:br/>
      </w:r>
      <w:r w:rsidR="0099421F">
        <w:rPr>
          <w:rFonts w:ascii="Arial" w:hAnsi="Arial" w:cs="Arial"/>
          <w:color w:val="404040"/>
          <w:sz w:val="26"/>
          <w:szCs w:val="26"/>
        </w:rPr>
        <w:br/>
      </w:r>
      <w:r w:rsidR="0099421F">
        <w:rPr>
          <w:rFonts w:ascii="Arial" w:hAnsi="Arial" w:cs="Arial"/>
          <w:color w:val="404040"/>
          <w:sz w:val="26"/>
          <w:szCs w:val="26"/>
        </w:rPr>
        <w:br/>
      </w:r>
      <w:r w:rsidR="0099421F">
        <w:rPr>
          <w:rFonts w:ascii="Arial" w:hAnsi="Arial" w:cs="Arial"/>
          <w:color w:val="404040"/>
          <w:sz w:val="26"/>
          <w:szCs w:val="26"/>
        </w:rPr>
        <w:br/>
      </w:r>
    </w:p>
    <w:p w:rsidR="000308AE" w:rsidRDefault="000308AE" w:rsidP="0099421F">
      <w:pPr>
        <w:shd w:val="clear" w:color="auto" w:fill="FFFFFF"/>
        <w:spacing w:before="180" w:after="180" w:line="360" w:lineRule="atLeast"/>
        <w:ind w:firstLine="708"/>
        <w:jc w:val="center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>
        <w:rPr>
          <w:rFonts w:ascii="Arial" w:hAnsi="Arial" w:cs="Arial"/>
          <w:color w:val="404040"/>
          <w:sz w:val="26"/>
          <w:szCs w:val="26"/>
        </w:rPr>
        <w:br/>
      </w:r>
      <w:r w:rsidR="0099421F">
        <w:rPr>
          <w:rFonts w:ascii="Arial" w:hAnsi="Arial" w:cs="Arial"/>
          <w:color w:val="404040"/>
          <w:sz w:val="26"/>
          <w:szCs w:val="26"/>
        </w:rPr>
        <w:t xml:space="preserve">                                                                                               </w:t>
      </w:r>
      <w:r>
        <w:rPr>
          <w:rFonts w:ascii="Arial" w:hAnsi="Arial" w:cs="Arial"/>
          <w:color w:val="404040"/>
          <w:sz w:val="26"/>
          <w:szCs w:val="26"/>
        </w:rPr>
        <w:t>Autor:</w:t>
      </w:r>
    </w:p>
    <w:p w:rsidR="000308AE" w:rsidRDefault="000308AE" w:rsidP="000308AE">
      <w:pPr>
        <w:shd w:val="clear" w:color="auto" w:fill="FFFFFF"/>
        <w:spacing w:before="180" w:after="180" w:line="360" w:lineRule="atLeast"/>
        <w:ind w:firstLine="708"/>
        <w:jc w:val="right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t>Genrry Chacón</w:t>
      </w:r>
    </w:p>
    <w:p w:rsidR="000308AE" w:rsidRDefault="000308AE" w:rsidP="000308AE">
      <w:pPr>
        <w:shd w:val="clear" w:color="auto" w:fill="FFFFFF"/>
        <w:spacing w:before="180" w:after="180" w:line="360" w:lineRule="atLeast"/>
        <w:ind w:firstLine="708"/>
        <w:jc w:val="right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t>16.228.487</w:t>
      </w:r>
    </w:p>
    <w:p w:rsidR="000308AE" w:rsidRDefault="000308AE" w:rsidP="000308AE">
      <w:pPr>
        <w:shd w:val="clear" w:color="auto" w:fill="FFFFFF"/>
        <w:spacing w:before="180" w:after="180" w:line="360" w:lineRule="atLeast"/>
        <w:ind w:firstLine="708"/>
        <w:jc w:val="right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t>Tutora:</w:t>
      </w:r>
    </w:p>
    <w:p w:rsidR="000308AE" w:rsidRDefault="000308AE" w:rsidP="000308AE">
      <w:pPr>
        <w:shd w:val="clear" w:color="auto" w:fill="FFFFFF"/>
        <w:spacing w:before="180" w:after="180" w:line="360" w:lineRule="atLeast"/>
        <w:ind w:firstLine="708"/>
        <w:jc w:val="right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t>María Eufemia Rosales</w:t>
      </w:r>
    </w:p>
    <w:p w:rsidR="000308AE" w:rsidRDefault="000308AE" w:rsidP="000308AE">
      <w:pPr>
        <w:shd w:val="clear" w:color="auto" w:fill="FFFFFF"/>
        <w:spacing w:before="180" w:after="180" w:line="360" w:lineRule="atLeast"/>
        <w:ind w:firstLine="708"/>
        <w:jc w:val="right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br/>
        <w:t>Cátedra: Talento Superior</w:t>
      </w:r>
      <w:r>
        <w:rPr>
          <w:rFonts w:ascii="Arial" w:hAnsi="Arial" w:cs="Arial"/>
          <w:color w:val="404040"/>
          <w:sz w:val="26"/>
          <w:szCs w:val="26"/>
        </w:rPr>
        <w:br/>
      </w:r>
    </w:p>
    <w:p w:rsidR="000308AE" w:rsidRDefault="0099421F" w:rsidP="0099421F">
      <w:pPr>
        <w:shd w:val="clear" w:color="auto" w:fill="FFFFFF"/>
        <w:spacing w:before="180" w:after="180" w:line="360" w:lineRule="atLeast"/>
        <w:ind w:firstLine="708"/>
        <w:jc w:val="center"/>
        <w:rPr>
          <w:rFonts w:ascii="Arial" w:hAnsi="Arial" w:cs="Arial"/>
          <w:color w:val="404040"/>
          <w:sz w:val="26"/>
          <w:szCs w:val="26"/>
        </w:rPr>
      </w:pPr>
      <w:r>
        <w:rPr>
          <w:rFonts w:ascii="Arial" w:hAnsi="Arial" w:cs="Arial"/>
          <w:color w:val="404040"/>
          <w:sz w:val="26"/>
          <w:szCs w:val="26"/>
        </w:rPr>
        <w:t>San Cristóbal 11 de febrero del 2011</w:t>
      </w:r>
    </w:p>
    <w:p w:rsidR="00A3317A" w:rsidRDefault="00A3317A" w:rsidP="0099421F">
      <w:pPr>
        <w:shd w:val="clear" w:color="auto" w:fill="FFFFFF"/>
        <w:spacing w:before="180" w:after="18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A3317A">
        <w:rPr>
          <w:rFonts w:ascii="Arial" w:eastAsia="Times New Roman" w:hAnsi="Arial" w:cs="Arial"/>
          <w:bCs/>
          <w:sz w:val="24"/>
          <w:szCs w:val="24"/>
          <w:lang w:eastAsia="es-ES"/>
        </w:rPr>
        <w:lastRenderedPageBreak/>
        <w:t xml:space="preserve">Los niños </w:t>
      </w:r>
      <w:r w:rsidR="0099421F">
        <w:rPr>
          <w:rFonts w:ascii="Arial" w:eastAsia="Times New Roman" w:hAnsi="Arial" w:cs="Arial"/>
          <w:bCs/>
          <w:sz w:val="24"/>
          <w:szCs w:val="24"/>
          <w:lang w:eastAsia="es-ES"/>
        </w:rPr>
        <w:t>s</w:t>
      </w:r>
      <w:r w:rsidRPr="00A3317A">
        <w:rPr>
          <w:rFonts w:ascii="Arial" w:eastAsia="Times New Roman" w:hAnsi="Arial" w:cs="Arial"/>
          <w:bCs/>
          <w:sz w:val="24"/>
          <w:szCs w:val="24"/>
          <w:lang w:eastAsia="es-ES"/>
        </w:rPr>
        <w:t>uperdotados</w:t>
      </w:r>
      <w:r w:rsidRPr="00A3317A">
        <w:rPr>
          <w:rFonts w:ascii="Arial" w:eastAsia="Times New Roman" w:hAnsi="Arial" w:cs="Arial"/>
          <w:sz w:val="24"/>
          <w:szCs w:val="24"/>
          <w:lang w:eastAsia="es-ES"/>
        </w:rPr>
        <w:t xml:space="preserve"> son alumnos que al presentar un nivel de rendimiento intelectual superior en una amplia gama de aptitudes y capacidades, aprenden con facilidad en cualquier área estos estudiantes muestran habilidades específicas en áreas muy concretas, las cuales le permiten establecer un desempeño acorde y adecuado a cualquier nivel académico en el que se encuentre, en la mayoría de los casos sobrepasa este nivel por lo que el educando en muchas 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 xml:space="preserve">ocasiones </w:t>
      </w:r>
      <w:r w:rsidRPr="00A3317A">
        <w:rPr>
          <w:rFonts w:ascii="Arial" w:eastAsia="Times New Roman" w:hAnsi="Arial" w:cs="Arial"/>
          <w:sz w:val="24"/>
          <w:szCs w:val="24"/>
          <w:lang w:eastAsia="es-ES"/>
        </w:rPr>
        <w:t xml:space="preserve">se desliga o 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 xml:space="preserve">se </w:t>
      </w:r>
      <w:r w:rsidRPr="00A3317A">
        <w:rPr>
          <w:rFonts w:ascii="Arial" w:eastAsia="Times New Roman" w:hAnsi="Arial" w:cs="Arial"/>
          <w:sz w:val="24"/>
          <w:szCs w:val="24"/>
          <w:lang w:eastAsia="es-ES"/>
        </w:rPr>
        <w:t>aísla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 xml:space="preserve"> del grupo debido a que su entorno</w:t>
      </w:r>
      <w:r w:rsidRPr="00A3317A">
        <w:rPr>
          <w:rFonts w:ascii="Arial" w:eastAsia="Times New Roman" w:hAnsi="Arial" w:cs="Arial"/>
          <w:sz w:val="24"/>
          <w:szCs w:val="24"/>
          <w:lang w:eastAsia="es-ES"/>
        </w:rPr>
        <w:t xml:space="preserve"> es inferior intelectualmente y académicamente.</w:t>
      </w:r>
    </w:p>
    <w:p w:rsidR="00A3317A" w:rsidRDefault="00A3317A" w:rsidP="0099421F">
      <w:pPr>
        <w:shd w:val="clear" w:color="auto" w:fill="FFFFFF"/>
        <w:spacing w:before="180" w:after="18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Es por ello, que los superdotados establecen una serie de conductas y comportamientos en el ámbito escolar y social no acorde a su entorno, este le imposibilita tener reacciones favorables hacia el compromiso educativo, ya que este no encuentr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 xml:space="preserve">a  el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ambiente escolar acorde a su capacidad y 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es-ES"/>
        </w:rPr>
        <w:t>su estado de rendimiento regular.</w:t>
      </w:r>
    </w:p>
    <w:p w:rsidR="00A3317A" w:rsidRDefault="00A3317A" w:rsidP="0099421F">
      <w:pPr>
        <w:shd w:val="clear" w:color="auto" w:fill="FFFFFF"/>
        <w:spacing w:before="180" w:after="18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En este sentido, es necesario tomar en cuenta muchas de las reacciones de estos escolares, ya que a través de las dichas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>,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se podrá ejecutar diferentes programas por med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>io de estrategias que fundamenta</w:t>
      </w:r>
      <w:r>
        <w:rPr>
          <w:rFonts w:ascii="Arial" w:eastAsia="Times New Roman" w:hAnsi="Arial" w:cs="Arial"/>
          <w:sz w:val="24"/>
          <w:szCs w:val="24"/>
          <w:lang w:eastAsia="es-ES"/>
        </w:rPr>
        <w:t>n el interés educativo y social del niño superdotado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>,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y que al igual el docente o profesional encargado de inculcar dicha información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>,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0308AE">
        <w:rPr>
          <w:rFonts w:ascii="Arial" w:eastAsia="Times New Roman" w:hAnsi="Arial" w:cs="Arial"/>
          <w:sz w:val="24"/>
          <w:szCs w:val="24"/>
          <w:lang w:eastAsia="es-ES"/>
        </w:rPr>
        <w:t>establezca un plan escolar adecuado a las capacidades del escolar y del docente que lo maneja.</w:t>
      </w:r>
    </w:p>
    <w:p w:rsidR="000308AE" w:rsidRPr="00A3317A" w:rsidRDefault="000308AE" w:rsidP="0099421F">
      <w:pPr>
        <w:shd w:val="clear" w:color="auto" w:fill="FFFFFF"/>
        <w:spacing w:before="180" w:after="18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Es importante resaltar, que en Venezuela no existen hasta fecha ninguna escuela que permita atender académicamente a estos estudiantes superdotados, lo cual es un déficit resaltante dentro de la educación </w:t>
      </w:r>
      <w:r w:rsidR="0099421F">
        <w:rPr>
          <w:rFonts w:ascii="Arial" w:eastAsia="Times New Roman" w:hAnsi="Arial" w:cs="Arial"/>
          <w:sz w:val="24"/>
          <w:szCs w:val="24"/>
          <w:lang w:eastAsia="es-ES"/>
        </w:rPr>
        <w:t>venezolana y má</w:t>
      </w:r>
      <w:r>
        <w:rPr>
          <w:rFonts w:ascii="Arial" w:eastAsia="Times New Roman" w:hAnsi="Arial" w:cs="Arial"/>
          <w:sz w:val="24"/>
          <w:szCs w:val="24"/>
          <w:lang w:eastAsia="es-ES"/>
        </w:rPr>
        <w:t>s específicamente dentro de la rama de educación especial. Asimismo,  la educación venezolana a través de las diferentes leyes, debe establecer formatos o áreas específicas donde se atienda con mayor importancia cada una de las necesidades y capacidades de estos escolares y cubrir de cierta manera  el área de alumnos superdotados en la rama de educación especial.</w:t>
      </w:r>
    </w:p>
    <w:p w:rsidR="00514376" w:rsidRDefault="00A3317A" w:rsidP="000308AE">
      <w:pPr>
        <w:jc w:val="both"/>
      </w:pPr>
      <w:r>
        <w:tab/>
      </w:r>
    </w:p>
    <w:sectPr w:rsidR="00514376" w:rsidSect="0099421F">
      <w:pgSz w:w="11906" w:h="16838"/>
      <w:pgMar w:top="226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A3317A"/>
    <w:rsid w:val="000308AE"/>
    <w:rsid w:val="00514376"/>
    <w:rsid w:val="0099421F"/>
    <w:rsid w:val="00A3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3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9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4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1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7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M.E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E.B Virgilio Pinzón</dc:creator>
  <cp:keywords/>
  <dc:description/>
  <cp:lastModifiedBy>E.B Virgilio Pinzón</cp:lastModifiedBy>
  <cp:revision>1</cp:revision>
  <dcterms:created xsi:type="dcterms:W3CDTF">2007-12-09T12:34:00Z</dcterms:created>
  <dcterms:modified xsi:type="dcterms:W3CDTF">2007-12-09T12:58:00Z</dcterms:modified>
</cp:coreProperties>
</file>